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AE" w:rsidRDefault="00CD70AE" w:rsidP="003A5E5F">
      <w:pPr>
        <w:pStyle w:val="Heading1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A5E5F">
        <w:rPr>
          <w:rFonts w:ascii="Arial" w:hAnsi="Arial" w:cs="Arial"/>
          <w:sz w:val="28"/>
          <w:szCs w:val="28"/>
        </w:rPr>
        <w:t xml:space="preserve">RESEARCH </w:t>
      </w:r>
      <w:r w:rsidR="00E911F8" w:rsidRPr="003A5E5F">
        <w:rPr>
          <w:rFonts w:ascii="Arial" w:hAnsi="Arial" w:cs="Arial"/>
          <w:sz w:val="28"/>
          <w:szCs w:val="28"/>
        </w:rPr>
        <w:t xml:space="preserve">AND CONTRACTS </w:t>
      </w:r>
      <w:r w:rsidRPr="003A5E5F">
        <w:rPr>
          <w:rFonts w:ascii="Arial" w:hAnsi="Arial" w:cs="Arial"/>
          <w:sz w:val="28"/>
          <w:szCs w:val="28"/>
        </w:rPr>
        <w:t>SUPPORT OFFICE</w:t>
      </w:r>
    </w:p>
    <w:p w:rsidR="00D157D6" w:rsidRPr="00306C42" w:rsidRDefault="00D157D6" w:rsidP="00306C42">
      <w:pPr>
        <w:pStyle w:val="Heading1"/>
        <w:jc w:val="both"/>
        <w:rPr>
          <w:rFonts w:ascii="Arial" w:hAnsi="Arial" w:cs="Arial"/>
          <w:sz w:val="22"/>
          <w:szCs w:val="22"/>
        </w:rPr>
      </w:pPr>
    </w:p>
    <w:p w:rsidR="00D075A1" w:rsidRPr="00306C42" w:rsidRDefault="004A2570" w:rsidP="00306C42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Remit and responsibilities</w:t>
      </w:r>
    </w:p>
    <w:p w:rsidR="00D075A1" w:rsidRPr="00306C42" w:rsidRDefault="00D075A1" w:rsidP="00306C4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This </w:t>
      </w:r>
      <w:r w:rsidR="004A2570" w:rsidRPr="00306C42">
        <w:rPr>
          <w:rFonts w:ascii="Arial" w:hAnsi="Arial" w:cs="Arial"/>
          <w:sz w:val="22"/>
          <w:szCs w:val="22"/>
        </w:rPr>
        <w:t>document</w:t>
      </w:r>
      <w:r w:rsidRPr="00306C42">
        <w:rPr>
          <w:rFonts w:ascii="Arial" w:hAnsi="Arial" w:cs="Arial"/>
          <w:sz w:val="22"/>
          <w:szCs w:val="22"/>
        </w:rPr>
        <w:t xml:space="preserve"> sets out</w:t>
      </w:r>
      <w:r w:rsidR="00DD7B76" w:rsidRPr="00306C42">
        <w:rPr>
          <w:rFonts w:ascii="Arial" w:hAnsi="Arial" w:cs="Arial"/>
          <w:sz w:val="22"/>
          <w:szCs w:val="22"/>
        </w:rPr>
        <w:t xml:space="preserve"> </w:t>
      </w:r>
      <w:r w:rsidRPr="00306C42">
        <w:rPr>
          <w:rFonts w:ascii="Arial" w:hAnsi="Arial" w:cs="Arial"/>
          <w:sz w:val="22"/>
          <w:szCs w:val="22"/>
        </w:rPr>
        <w:t xml:space="preserve">the </w:t>
      </w:r>
      <w:r w:rsidR="004A2570" w:rsidRPr="00306C42">
        <w:rPr>
          <w:rFonts w:ascii="Arial" w:hAnsi="Arial" w:cs="Arial"/>
          <w:sz w:val="22"/>
          <w:szCs w:val="22"/>
        </w:rPr>
        <w:t xml:space="preserve">support </w:t>
      </w:r>
      <w:r w:rsidRPr="00306C42">
        <w:rPr>
          <w:rFonts w:ascii="Arial" w:hAnsi="Arial" w:cs="Arial"/>
          <w:sz w:val="22"/>
          <w:szCs w:val="22"/>
        </w:rPr>
        <w:t xml:space="preserve">services provided by the Research </w:t>
      </w:r>
      <w:r w:rsidR="00E911F8" w:rsidRPr="00306C42">
        <w:rPr>
          <w:rFonts w:ascii="Arial" w:hAnsi="Arial" w:cs="Arial"/>
          <w:sz w:val="22"/>
          <w:szCs w:val="22"/>
        </w:rPr>
        <w:t xml:space="preserve">and Contracts </w:t>
      </w:r>
      <w:r w:rsidR="00DD7B76" w:rsidRPr="00306C42">
        <w:rPr>
          <w:rFonts w:ascii="Arial" w:hAnsi="Arial" w:cs="Arial"/>
          <w:sz w:val="22"/>
          <w:szCs w:val="22"/>
        </w:rPr>
        <w:t>Support</w:t>
      </w:r>
      <w:r w:rsidR="009539DC" w:rsidRPr="00306C42">
        <w:rPr>
          <w:rFonts w:ascii="Arial" w:hAnsi="Arial" w:cs="Arial"/>
          <w:sz w:val="22"/>
          <w:szCs w:val="22"/>
        </w:rPr>
        <w:t xml:space="preserve"> </w:t>
      </w:r>
      <w:r w:rsidRPr="00306C42">
        <w:rPr>
          <w:rFonts w:ascii="Arial" w:hAnsi="Arial" w:cs="Arial"/>
          <w:sz w:val="22"/>
          <w:szCs w:val="22"/>
        </w:rPr>
        <w:t>Office</w:t>
      </w:r>
      <w:r w:rsidR="00E911F8" w:rsidRPr="00306C42">
        <w:rPr>
          <w:rFonts w:ascii="Arial" w:hAnsi="Arial" w:cs="Arial"/>
          <w:sz w:val="22"/>
          <w:szCs w:val="22"/>
        </w:rPr>
        <w:t xml:space="preserve"> (R</w:t>
      </w:r>
      <w:r w:rsidR="009539DC" w:rsidRPr="00306C42">
        <w:rPr>
          <w:rFonts w:ascii="Arial" w:hAnsi="Arial" w:cs="Arial"/>
          <w:sz w:val="22"/>
          <w:szCs w:val="22"/>
        </w:rPr>
        <w:t>C</w:t>
      </w:r>
      <w:r w:rsidR="00E911F8" w:rsidRPr="00306C42">
        <w:rPr>
          <w:rFonts w:ascii="Arial" w:hAnsi="Arial" w:cs="Arial"/>
          <w:sz w:val="22"/>
          <w:szCs w:val="22"/>
        </w:rPr>
        <w:t>S</w:t>
      </w:r>
      <w:r w:rsidR="009539DC" w:rsidRPr="00306C42">
        <w:rPr>
          <w:rFonts w:ascii="Arial" w:hAnsi="Arial" w:cs="Arial"/>
          <w:sz w:val="22"/>
          <w:szCs w:val="22"/>
        </w:rPr>
        <w:t>O)</w:t>
      </w:r>
      <w:r w:rsidRPr="00306C42">
        <w:rPr>
          <w:rFonts w:ascii="Arial" w:hAnsi="Arial" w:cs="Arial"/>
          <w:sz w:val="22"/>
          <w:szCs w:val="22"/>
        </w:rPr>
        <w:t>, which is</w:t>
      </w:r>
      <w:r w:rsidR="00DD7B76" w:rsidRPr="00306C42">
        <w:rPr>
          <w:rFonts w:ascii="Arial" w:hAnsi="Arial" w:cs="Arial"/>
          <w:sz w:val="22"/>
          <w:szCs w:val="22"/>
        </w:rPr>
        <w:t xml:space="preserve"> part of Research &amp; Enterprise Services </w:t>
      </w:r>
      <w:r w:rsidR="004A2570" w:rsidRPr="00306C42">
        <w:rPr>
          <w:rFonts w:ascii="Arial" w:hAnsi="Arial" w:cs="Arial"/>
          <w:sz w:val="22"/>
          <w:szCs w:val="22"/>
        </w:rPr>
        <w:t>Division</w:t>
      </w:r>
      <w:r w:rsidRPr="00306C42">
        <w:rPr>
          <w:rFonts w:ascii="Arial" w:hAnsi="Arial" w:cs="Arial"/>
          <w:sz w:val="22"/>
          <w:szCs w:val="22"/>
        </w:rPr>
        <w:t>.</w:t>
      </w:r>
    </w:p>
    <w:p w:rsidR="00D075A1" w:rsidRPr="00306C42" w:rsidRDefault="004A2570" w:rsidP="00306C42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The </w:t>
      </w:r>
      <w:r w:rsidR="00D075A1" w:rsidRPr="00306C42">
        <w:rPr>
          <w:rFonts w:ascii="Arial" w:hAnsi="Arial" w:cs="Arial"/>
          <w:sz w:val="22"/>
          <w:szCs w:val="22"/>
        </w:rPr>
        <w:t xml:space="preserve">primary function </w:t>
      </w:r>
      <w:r w:rsidRPr="00306C42">
        <w:rPr>
          <w:rFonts w:ascii="Arial" w:hAnsi="Arial" w:cs="Arial"/>
          <w:sz w:val="22"/>
          <w:szCs w:val="22"/>
        </w:rPr>
        <w:t xml:space="preserve">of </w:t>
      </w:r>
      <w:r w:rsidR="00E911F8" w:rsidRPr="00306C42">
        <w:rPr>
          <w:rFonts w:ascii="Arial" w:hAnsi="Arial" w:cs="Arial"/>
          <w:sz w:val="22"/>
          <w:szCs w:val="22"/>
        </w:rPr>
        <w:t>RCSO</w:t>
      </w:r>
      <w:r w:rsidRPr="00306C42">
        <w:rPr>
          <w:rFonts w:ascii="Arial" w:hAnsi="Arial" w:cs="Arial"/>
          <w:sz w:val="22"/>
          <w:szCs w:val="22"/>
        </w:rPr>
        <w:t xml:space="preserve"> </w:t>
      </w:r>
      <w:r w:rsidR="00D075A1" w:rsidRPr="00306C42">
        <w:rPr>
          <w:rFonts w:ascii="Arial" w:hAnsi="Arial" w:cs="Arial"/>
          <w:sz w:val="22"/>
          <w:szCs w:val="22"/>
        </w:rPr>
        <w:t xml:space="preserve">is to administer </w:t>
      </w:r>
      <w:r w:rsidR="00053B9E" w:rsidRPr="00306C42">
        <w:rPr>
          <w:rFonts w:ascii="Arial" w:hAnsi="Arial" w:cs="Arial"/>
          <w:sz w:val="22"/>
          <w:szCs w:val="22"/>
        </w:rPr>
        <w:t xml:space="preserve">and support </w:t>
      </w:r>
      <w:r w:rsidR="00D075A1" w:rsidRPr="00306C42">
        <w:rPr>
          <w:rFonts w:ascii="Arial" w:hAnsi="Arial" w:cs="Arial"/>
          <w:sz w:val="22"/>
          <w:szCs w:val="22"/>
        </w:rPr>
        <w:t xml:space="preserve">all </w:t>
      </w:r>
      <w:r w:rsidRPr="00306C42">
        <w:rPr>
          <w:rFonts w:ascii="Arial" w:hAnsi="Arial" w:cs="Arial"/>
          <w:sz w:val="22"/>
          <w:szCs w:val="22"/>
        </w:rPr>
        <w:t xml:space="preserve">externally funded </w:t>
      </w:r>
      <w:r w:rsidR="00D075A1" w:rsidRPr="00306C42">
        <w:rPr>
          <w:rFonts w:ascii="Arial" w:hAnsi="Arial" w:cs="Arial"/>
          <w:sz w:val="22"/>
          <w:szCs w:val="22"/>
        </w:rPr>
        <w:t xml:space="preserve">research grants and contracts for the University. Our </w:t>
      </w:r>
      <w:r w:rsidR="003A5E5F" w:rsidRPr="00306C42">
        <w:rPr>
          <w:rFonts w:ascii="Arial" w:hAnsi="Arial" w:cs="Arial"/>
          <w:sz w:val="22"/>
          <w:szCs w:val="22"/>
        </w:rPr>
        <w:t>key</w:t>
      </w:r>
      <w:r w:rsidR="00D075A1" w:rsidRPr="00306C42">
        <w:rPr>
          <w:rFonts w:ascii="Arial" w:hAnsi="Arial" w:cs="Arial"/>
          <w:sz w:val="22"/>
          <w:szCs w:val="22"/>
        </w:rPr>
        <w:t xml:space="preserve"> </w:t>
      </w:r>
      <w:r w:rsidR="009539DC" w:rsidRPr="00306C42">
        <w:rPr>
          <w:rFonts w:ascii="Arial" w:hAnsi="Arial" w:cs="Arial"/>
          <w:sz w:val="22"/>
          <w:szCs w:val="22"/>
        </w:rPr>
        <w:t xml:space="preserve">internal </w:t>
      </w:r>
      <w:r w:rsidR="00D075A1" w:rsidRPr="00306C42">
        <w:rPr>
          <w:rFonts w:ascii="Arial" w:hAnsi="Arial" w:cs="Arial"/>
          <w:sz w:val="22"/>
          <w:szCs w:val="22"/>
        </w:rPr>
        <w:t>cont</w:t>
      </w:r>
      <w:r w:rsidR="00DD7B76" w:rsidRPr="00306C42">
        <w:rPr>
          <w:rFonts w:ascii="Arial" w:hAnsi="Arial" w:cs="Arial"/>
          <w:sz w:val="22"/>
          <w:szCs w:val="22"/>
        </w:rPr>
        <w:t>acts are Principal Investigators, faculty and departmental administrators.</w:t>
      </w:r>
    </w:p>
    <w:p w:rsidR="00D075A1" w:rsidRPr="00306C42" w:rsidRDefault="00D075A1" w:rsidP="00306C42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06C42">
        <w:rPr>
          <w:rFonts w:ascii="Arial" w:hAnsi="Arial" w:cs="Arial"/>
          <w:b/>
          <w:bCs/>
          <w:sz w:val="22"/>
          <w:szCs w:val="22"/>
          <w:u w:val="single"/>
        </w:rPr>
        <w:t>Key objectives</w:t>
      </w:r>
    </w:p>
    <w:p w:rsidR="004A2570" w:rsidRPr="00306C42" w:rsidRDefault="000574DB" w:rsidP="00306C4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Applications and submissions </w:t>
      </w:r>
    </w:p>
    <w:p w:rsidR="00E911F8" w:rsidRPr="00306C42" w:rsidRDefault="00DD7B76" w:rsidP="00306C42">
      <w:pPr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Providing advice and guidance to</w:t>
      </w:r>
      <w:r w:rsidR="00D075A1" w:rsidRPr="00306C42">
        <w:rPr>
          <w:rFonts w:ascii="Arial" w:hAnsi="Arial" w:cs="Arial"/>
          <w:sz w:val="22"/>
          <w:szCs w:val="22"/>
        </w:rPr>
        <w:t xml:space="preserve"> academic staff </w:t>
      </w:r>
      <w:r w:rsidR="002414AB" w:rsidRPr="00306C42">
        <w:rPr>
          <w:rFonts w:ascii="Arial" w:hAnsi="Arial" w:cs="Arial"/>
          <w:sz w:val="22"/>
          <w:szCs w:val="22"/>
        </w:rPr>
        <w:t>on</w:t>
      </w:r>
      <w:r w:rsidR="000574DB">
        <w:rPr>
          <w:rFonts w:ascii="Arial" w:hAnsi="Arial" w:cs="Arial"/>
          <w:sz w:val="22"/>
          <w:szCs w:val="22"/>
        </w:rPr>
        <w:t xml:space="preserve"> applications for external research funding </w:t>
      </w:r>
      <w:r w:rsidR="006B2D1B">
        <w:rPr>
          <w:rFonts w:ascii="Arial" w:hAnsi="Arial" w:cs="Arial"/>
          <w:sz w:val="22"/>
          <w:szCs w:val="22"/>
        </w:rPr>
        <w:t>including</w:t>
      </w:r>
      <w:r w:rsidR="00E911F8" w:rsidRPr="00306C42">
        <w:rPr>
          <w:rFonts w:ascii="Arial" w:hAnsi="Arial" w:cs="Arial"/>
          <w:sz w:val="22"/>
          <w:szCs w:val="22"/>
        </w:rPr>
        <w:t>:</w:t>
      </w:r>
    </w:p>
    <w:p w:rsidR="00E911F8" w:rsidRPr="00306C42" w:rsidRDefault="002414AB" w:rsidP="00306C42">
      <w:pPr>
        <w:numPr>
          <w:ilvl w:val="1"/>
          <w:numId w:val="9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the costing </w:t>
      </w:r>
      <w:r w:rsidR="00053B9E" w:rsidRPr="00306C42">
        <w:rPr>
          <w:rFonts w:ascii="Arial" w:hAnsi="Arial" w:cs="Arial"/>
          <w:sz w:val="22"/>
          <w:szCs w:val="22"/>
        </w:rPr>
        <w:t xml:space="preserve">and pricing </w:t>
      </w:r>
      <w:r w:rsidRPr="00306C42">
        <w:rPr>
          <w:rFonts w:ascii="Arial" w:hAnsi="Arial" w:cs="Arial"/>
          <w:sz w:val="22"/>
          <w:szCs w:val="22"/>
        </w:rPr>
        <w:t xml:space="preserve">of </w:t>
      </w:r>
      <w:r w:rsidR="00D075A1" w:rsidRPr="00306C42">
        <w:rPr>
          <w:rFonts w:ascii="Arial" w:hAnsi="Arial" w:cs="Arial"/>
          <w:sz w:val="22"/>
          <w:szCs w:val="22"/>
        </w:rPr>
        <w:t xml:space="preserve">applications </w:t>
      </w:r>
    </w:p>
    <w:p w:rsidR="00EC1C0F" w:rsidRDefault="00D157D6" w:rsidP="00306C42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researcher funders’</w:t>
      </w:r>
      <w:r w:rsidR="00E911F8" w:rsidRPr="00306C42">
        <w:rPr>
          <w:rFonts w:ascii="Arial" w:hAnsi="Arial" w:cs="Arial"/>
          <w:sz w:val="22"/>
          <w:szCs w:val="22"/>
        </w:rPr>
        <w:t xml:space="preserve"> </w:t>
      </w:r>
      <w:r w:rsidR="006B2D1B" w:rsidRPr="00306C42">
        <w:rPr>
          <w:rFonts w:ascii="Arial" w:hAnsi="Arial" w:cs="Arial"/>
          <w:sz w:val="22"/>
          <w:szCs w:val="22"/>
        </w:rPr>
        <w:t xml:space="preserve">submission </w:t>
      </w:r>
      <w:r w:rsidR="00EC1C0F">
        <w:rPr>
          <w:rFonts w:ascii="Arial" w:hAnsi="Arial" w:cs="Arial"/>
          <w:sz w:val="22"/>
          <w:szCs w:val="22"/>
        </w:rPr>
        <w:t xml:space="preserve">requirements </w:t>
      </w:r>
    </w:p>
    <w:p w:rsidR="00E911F8" w:rsidRPr="00306C42" w:rsidRDefault="00EC1C0F" w:rsidP="00306C42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liaison with research partners</w:t>
      </w:r>
      <w:r w:rsidR="00D157D6" w:rsidRPr="00306C42">
        <w:rPr>
          <w:rFonts w:ascii="Arial" w:hAnsi="Arial" w:cs="Arial"/>
          <w:sz w:val="22"/>
          <w:szCs w:val="22"/>
        </w:rPr>
        <w:t xml:space="preserve"> </w:t>
      </w:r>
    </w:p>
    <w:p w:rsidR="00E911F8" w:rsidRPr="00306C42" w:rsidRDefault="00E911F8" w:rsidP="00306C42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the general terms and conditions of contracts (when possible)</w:t>
      </w:r>
    </w:p>
    <w:p w:rsidR="00E911F8" w:rsidRPr="00306C42" w:rsidRDefault="00E911F8" w:rsidP="00306C42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research governance and ethics</w:t>
      </w:r>
    </w:p>
    <w:p w:rsidR="00E911F8" w:rsidRPr="00306C42" w:rsidRDefault="00E911F8" w:rsidP="00306C42">
      <w:pPr>
        <w:numPr>
          <w:ilvl w:val="1"/>
          <w:numId w:val="9"/>
        </w:numPr>
        <w:tabs>
          <w:tab w:val="num" w:pos="720"/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internal policies and procedures </w:t>
      </w:r>
      <w:r w:rsidR="006B2D1B">
        <w:rPr>
          <w:rFonts w:ascii="Arial" w:hAnsi="Arial" w:cs="Arial"/>
          <w:sz w:val="22"/>
          <w:szCs w:val="22"/>
        </w:rPr>
        <w:t>on submission of bids and applications</w:t>
      </w:r>
    </w:p>
    <w:p w:rsidR="00E911F8" w:rsidRPr="00306C42" w:rsidRDefault="00E911F8" w:rsidP="00306C42">
      <w:pPr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Costing proposals and ensuring that research applications are institutionally approved prior to submission</w:t>
      </w:r>
    </w:p>
    <w:p w:rsidR="00053B9E" w:rsidRPr="00306C42" w:rsidRDefault="00053B9E" w:rsidP="00306C42">
      <w:pPr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Reviewing and checking contract terms and conditions at the proposal stage if </w:t>
      </w:r>
      <w:r w:rsidR="00AF4AD1">
        <w:rPr>
          <w:rFonts w:ascii="Arial" w:hAnsi="Arial" w:cs="Arial"/>
          <w:sz w:val="22"/>
          <w:szCs w:val="22"/>
        </w:rPr>
        <w:t>appropriate</w:t>
      </w:r>
      <w:r w:rsidRPr="00306C42">
        <w:rPr>
          <w:rFonts w:ascii="Arial" w:hAnsi="Arial" w:cs="Arial"/>
          <w:sz w:val="22"/>
          <w:szCs w:val="22"/>
        </w:rPr>
        <w:t xml:space="preserve"> e.g. tenders</w:t>
      </w:r>
    </w:p>
    <w:p w:rsidR="00200F30" w:rsidRPr="00306C42" w:rsidRDefault="00200F30" w:rsidP="00306C42">
      <w:pPr>
        <w:numPr>
          <w:ilvl w:val="0"/>
          <w:numId w:val="9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Participating in information days and training workshops for academic staff</w:t>
      </w:r>
    </w:p>
    <w:p w:rsidR="00E911F8" w:rsidRDefault="00E911F8" w:rsidP="00306C4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74DB" w:rsidRDefault="000574DB" w:rsidP="00306C4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Award negotiation and acceptance</w:t>
      </w:r>
    </w:p>
    <w:p w:rsidR="000574DB" w:rsidRPr="000574DB" w:rsidRDefault="000574DB" w:rsidP="000574DB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74DB">
        <w:rPr>
          <w:rFonts w:ascii="Arial" w:hAnsi="Arial" w:cs="Arial"/>
          <w:sz w:val="22"/>
          <w:szCs w:val="22"/>
        </w:rPr>
        <w:t>Providing advice and guidance to academic staff on research funders’ terms and conditions with regards to awarded projects</w:t>
      </w:r>
    </w:p>
    <w:p w:rsidR="000574DB" w:rsidRPr="00306C42" w:rsidRDefault="000574DB" w:rsidP="000574DB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Processing offers of award and </w:t>
      </w:r>
      <w:r>
        <w:rPr>
          <w:rFonts w:ascii="Arial" w:hAnsi="Arial" w:cs="Arial"/>
          <w:sz w:val="22"/>
          <w:szCs w:val="22"/>
        </w:rPr>
        <w:t xml:space="preserve">confirming </w:t>
      </w:r>
      <w:r w:rsidRPr="00306C42">
        <w:rPr>
          <w:rFonts w:ascii="Arial" w:hAnsi="Arial" w:cs="Arial"/>
          <w:sz w:val="22"/>
          <w:szCs w:val="22"/>
        </w:rPr>
        <w:t>acceptance</w:t>
      </w:r>
    </w:p>
    <w:p w:rsidR="000574DB" w:rsidRPr="00306C42" w:rsidRDefault="000574DB" w:rsidP="000574DB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Contract review and negotiation for re</w:t>
      </w:r>
      <w:r>
        <w:rPr>
          <w:rFonts w:ascii="Arial" w:hAnsi="Arial" w:cs="Arial"/>
          <w:sz w:val="22"/>
          <w:szCs w:val="22"/>
        </w:rPr>
        <w:t>search projects (see appendix 1</w:t>
      </w:r>
      <w:r w:rsidRPr="00306C42">
        <w:rPr>
          <w:rFonts w:ascii="Arial" w:hAnsi="Arial" w:cs="Arial"/>
          <w:sz w:val="22"/>
          <w:szCs w:val="22"/>
        </w:rPr>
        <w:t>)</w:t>
      </w:r>
    </w:p>
    <w:p w:rsidR="000574DB" w:rsidRPr="00306C42" w:rsidRDefault="000574DB" w:rsidP="000574DB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Preparing contracts or agreements where necessary for collaborative research projects</w:t>
      </w:r>
    </w:p>
    <w:p w:rsidR="000574DB" w:rsidRPr="000574DB" w:rsidRDefault="000574DB" w:rsidP="000574DB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Initiation of research project set up in the University finance system (Agresso)</w:t>
      </w:r>
    </w:p>
    <w:p w:rsidR="000574DB" w:rsidRPr="000574DB" w:rsidRDefault="000574DB" w:rsidP="000574DB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A2570" w:rsidRPr="00306C42" w:rsidRDefault="004A2570" w:rsidP="00306C42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6C42">
        <w:rPr>
          <w:rFonts w:ascii="Arial" w:hAnsi="Arial" w:cs="Arial"/>
          <w:b/>
          <w:sz w:val="22"/>
          <w:szCs w:val="22"/>
        </w:rPr>
        <w:t>Post award</w:t>
      </w:r>
      <w:r w:rsidR="000574DB">
        <w:rPr>
          <w:rFonts w:ascii="Arial" w:hAnsi="Arial" w:cs="Arial"/>
          <w:b/>
          <w:sz w:val="22"/>
          <w:szCs w:val="22"/>
        </w:rPr>
        <w:t xml:space="preserve"> administration</w:t>
      </w:r>
    </w:p>
    <w:p w:rsidR="00D157D6" w:rsidRPr="00306C42" w:rsidRDefault="00D157D6" w:rsidP="00306C42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Providing advice and guidance to academic staff on</w:t>
      </w:r>
      <w:r w:rsidR="000574DB">
        <w:rPr>
          <w:rFonts w:ascii="Arial" w:hAnsi="Arial" w:cs="Arial"/>
          <w:sz w:val="22"/>
          <w:szCs w:val="22"/>
        </w:rPr>
        <w:t xml:space="preserve"> awarded research projects including</w:t>
      </w:r>
      <w:r w:rsidRPr="00306C42">
        <w:rPr>
          <w:rFonts w:ascii="Arial" w:hAnsi="Arial" w:cs="Arial"/>
          <w:sz w:val="22"/>
          <w:szCs w:val="22"/>
        </w:rPr>
        <w:t>:</w:t>
      </w:r>
    </w:p>
    <w:p w:rsidR="00D157D6" w:rsidRPr="00306C42" w:rsidRDefault="00D157D6" w:rsidP="00306C42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research funders’ </w:t>
      </w:r>
      <w:r w:rsidR="000574DB">
        <w:rPr>
          <w:rFonts w:ascii="Arial" w:hAnsi="Arial" w:cs="Arial"/>
          <w:sz w:val="22"/>
          <w:szCs w:val="22"/>
        </w:rPr>
        <w:t xml:space="preserve">general </w:t>
      </w:r>
      <w:r w:rsidRPr="00306C42">
        <w:rPr>
          <w:rFonts w:ascii="Arial" w:hAnsi="Arial" w:cs="Arial"/>
          <w:sz w:val="22"/>
          <w:szCs w:val="22"/>
        </w:rPr>
        <w:t xml:space="preserve">terms and conditions </w:t>
      </w:r>
    </w:p>
    <w:p w:rsidR="00D157D6" w:rsidRPr="00306C42" w:rsidRDefault="00D157D6" w:rsidP="00306C42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the</w:t>
      </w:r>
      <w:r w:rsidR="000574DB">
        <w:rPr>
          <w:rFonts w:ascii="Arial" w:hAnsi="Arial" w:cs="Arial"/>
          <w:sz w:val="22"/>
          <w:szCs w:val="22"/>
        </w:rPr>
        <w:t xml:space="preserve"> contract</w:t>
      </w:r>
      <w:r w:rsidRPr="00306C42">
        <w:rPr>
          <w:rFonts w:ascii="Arial" w:hAnsi="Arial" w:cs="Arial"/>
          <w:sz w:val="22"/>
          <w:szCs w:val="22"/>
        </w:rPr>
        <w:t xml:space="preserve"> terms and conditions </w:t>
      </w:r>
    </w:p>
    <w:p w:rsidR="00D157D6" w:rsidRPr="00306C42" w:rsidRDefault="00D157D6" w:rsidP="00306C42">
      <w:pPr>
        <w:numPr>
          <w:ilvl w:val="1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internal policies and procedures </w:t>
      </w:r>
    </w:p>
    <w:p w:rsidR="00D157D6" w:rsidRPr="00306C42" w:rsidRDefault="00261590" w:rsidP="00306C42">
      <w:pPr>
        <w:numPr>
          <w:ilvl w:val="1"/>
          <w:numId w:val="10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lastRenderedPageBreak/>
        <w:t xml:space="preserve">administration and </w:t>
      </w:r>
      <w:r w:rsidR="00D157D6" w:rsidRPr="00306C42">
        <w:rPr>
          <w:rFonts w:ascii="Arial" w:hAnsi="Arial" w:cs="Arial"/>
          <w:sz w:val="22"/>
          <w:szCs w:val="22"/>
        </w:rPr>
        <w:t>manag</w:t>
      </w:r>
      <w:r w:rsidRPr="00306C42">
        <w:rPr>
          <w:rFonts w:ascii="Arial" w:hAnsi="Arial" w:cs="Arial"/>
          <w:sz w:val="22"/>
          <w:szCs w:val="22"/>
        </w:rPr>
        <w:t>ement of</w:t>
      </w:r>
      <w:r w:rsidR="00D157D6" w:rsidRPr="00306C42">
        <w:rPr>
          <w:rFonts w:ascii="Arial" w:hAnsi="Arial" w:cs="Arial"/>
          <w:sz w:val="22"/>
          <w:szCs w:val="22"/>
        </w:rPr>
        <w:t xml:space="preserve"> </w:t>
      </w:r>
      <w:r w:rsidR="000574DB">
        <w:rPr>
          <w:rFonts w:ascii="Arial" w:hAnsi="Arial" w:cs="Arial"/>
          <w:sz w:val="22"/>
          <w:szCs w:val="22"/>
        </w:rPr>
        <w:t>such</w:t>
      </w:r>
      <w:r w:rsidR="00D157D6" w:rsidRPr="00306C42">
        <w:rPr>
          <w:rFonts w:ascii="Arial" w:hAnsi="Arial" w:cs="Arial"/>
          <w:sz w:val="22"/>
          <w:szCs w:val="22"/>
        </w:rPr>
        <w:t xml:space="preserve"> projects</w:t>
      </w:r>
    </w:p>
    <w:p w:rsidR="008A0EE4" w:rsidRPr="00306C42" w:rsidRDefault="00053B9E" w:rsidP="00306C42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F</w:t>
      </w:r>
      <w:r w:rsidR="00D075A1" w:rsidRPr="00306C42">
        <w:rPr>
          <w:rFonts w:ascii="Arial" w:hAnsi="Arial" w:cs="Arial"/>
          <w:sz w:val="22"/>
          <w:szCs w:val="22"/>
        </w:rPr>
        <w:t xml:space="preserve">inancial administration of projects </w:t>
      </w:r>
      <w:r w:rsidR="002414AB" w:rsidRPr="00306C42">
        <w:rPr>
          <w:rFonts w:ascii="Arial" w:hAnsi="Arial" w:cs="Arial"/>
          <w:sz w:val="22"/>
          <w:szCs w:val="22"/>
        </w:rPr>
        <w:t>i.e.</w:t>
      </w:r>
      <w:r w:rsidR="00D075A1" w:rsidRPr="00306C42">
        <w:rPr>
          <w:rFonts w:ascii="Arial" w:hAnsi="Arial" w:cs="Arial"/>
          <w:sz w:val="22"/>
          <w:szCs w:val="22"/>
        </w:rPr>
        <w:t xml:space="preserve"> raising invoices, </w:t>
      </w:r>
      <w:r w:rsidR="000F3CD9" w:rsidRPr="00306C42">
        <w:rPr>
          <w:rFonts w:ascii="Arial" w:hAnsi="Arial" w:cs="Arial"/>
          <w:sz w:val="22"/>
          <w:szCs w:val="22"/>
        </w:rPr>
        <w:t xml:space="preserve">preparing and </w:t>
      </w:r>
      <w:r w:rsidR="00D075A1" w:rsidRPr="00306C42">
        <w:rPr>
          <w:rFonts w:ascii="Arial" w:hAnsi="Arial" w:cs="Arial"/>
          <w:sz w:val="22"/>
          <w:szCs w:val="22"/>
        </w:rPr>
        <w:t>submitti</w:t>
      </w:r>
      <w:r w:rsidR="008A0EE4" w:rsidRPr="00306C42">
        <w:rPr>
          <w:rFonts w:ascii="Arial" w:hAnsi="Arial" w:cs="Arial"/>
          <w:sz w:val="22"/>
          <w:szCs w:val="22"/>
        </w:rPr>
        <w:t xml:space="preserve">ng financial claims to funders and closing of research </w:t>
      </w:r>
      <w:r w:rsidR="000F3CD9" w:rsidRPr="00306C42">
        <w:rPr>
          <w:rFonts w:ascii="Arial" w:hAnsi="Arial" w:cs="Arial"/>
          <w:sz w:val="22"/>
          <w:szCs w:val="22"/>
        </w:rPr>
        <w:t>projects</w:t>
      </w:r>
    </w:p>
    <w:p w:rsidR="000574DB" w:rsidRPr="00306C42" w:rsidRDefault="000574DB" w:rsidP="000574DB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Reviewing or drafting of research sub-contracts or contracts amendments for existing research projects </w:t>
      </w:r>
    </w:p>
    <w:p w:rsidR="00D075A1" w:rsidRPr="00306C42" w:rsidRDefault="008A0EE4" w:rsidP="00306C42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Organisation and p</w:t>
      </w:r>
      <w:r w:rsidR="00D075A1" w:rsidRPr="00306C42">
        <w:rPr>
          <w:rFonts w:ascii="Arial" w:hAnsi="Arial" w:cs="Arial"/>
          <w:sz w:val="22"/>
          <w:szCs w:val="22"/>
        </w:rPr>
        <w:t xml:space="preserve">reparation for </w:t>
      </w:r>
      <w:r w:rsidRPr="00306C42">
        <w:rPr>
          <w:rFonts w:ascii="Arial" w:hAnsi="Arial" w:cs="Arial"/>
          <w:sz w:val="22"/>
          <w:szCs w:val="22"/>
        </w:rPr>
        <w:t xml:space="preserve">internal and external grant </w:t>
      </w:r>
      <w:r w:rsidR="00D075A1" w:rsidRPr="00306C42">
        <w:rPr>
          <w:rFonts w:ascii="Arial" w:hAnsi="Arial" w:cs="Arial"/>
          <w:sz w:val="22"/>
          <w:szCs w:val="22"/>
        </w:rPr>
        <w:t xml:space="preserve">audits </w:t>
      </w:r>
    </w:p>
    <w:p w:rsidR="000574DB" w:rsidRDefault="00D075A1" w:rsidP="00306C42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Maintaini</w:t>
      </w:r>
      <w:r w:rsidR="000F3CD9" w:rsidRPr="00306C42">
        <w:rPr>
          <w:rFonts w:ascii="Arial" w:hAnsi="Arial" w:cs="Arial"/>
          <w:sz w:val="22"/>
          <w:szCs w:val="22"/>
        </w:rPr>
        <w:t>ng accurate records of externally funded research projects</w:t>
      </w:r>
      <w:r w:rsidRPr="00306C42">
        <w:rPr>
          <w:rFonts w:ascii="Arial" w:hAnsi="Arial" w:cs="Arial"/>
          <w:sz w:val="22"/>
          <w:szCs w:val="22"/>
        </w:rPr>
        <w:t xml:space="preserve"> </w:t>
      </w:r>
    </w:p>
    <w:p w:rsidR="00D075A1" w:rsidRPr="00306C42" w:rsidRDefault="000574DB" w:rsidP="00306C42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75A1" w:rsidRPr="00306C42">
        <w:rPr>
          <w:rFonts w:ascii="Arial" w:hAnsi="Arial" w:cs="Arial"/>
          <w:sz w:val="22"/>
          <w:szCs w:val="22"/>
        </w:rPr>
        <w:t>roviding information on external research f</w:t>
      </w:r>
      <w:r w:rsidR="000F3CD9" w:rsidRPr="00306C42">
        <w:rPr>
          <w:rFonts w:ascii="Arial" w:hAnsi="Arial" w:cs="Arial"/>
          <w:sz w:val="22"/>
          <w:szCs w:val="22"/>
        </w:rPr>
        <w:t>unding</w:t>
      </w:r>
    </w:p>
    <w:p w:rsidR="00200F30" w:rsidRPr="00306C42" w:rsidRDefault="00200F30" w:rsidP="00306C42">
      <w:pPr>
        <w:numPr>
          <w:ilvl w:val="0"/>
          <w:numId w:val="10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Key_outputs"/>
      <w:r w:rsidRPr="00306C42">
        <w:rPr>
          <w:rFonts w:ascii="Arial" w:hAnsi="Arial" w:cs="Arial"/>
          <w:sz w:val="22"/>
          <w:szCs w:val="22"/>
        </w:rPr>
        <w:t>Participating in information days and training workshops for academic staff</w:t>
      </w:r>
    </w:p>
    <w:p w:rsidR="00200F30" w:rsidRPr="00306C42" w:rsidRDefault="00200F30" w:rsidP="00306C42">
      <w:pPr>
        <w:tabs>
          <w:tab w:val="num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bookmarkEnd w:id="1"/>
    <w:p w:rsidR="004A2570" w:rsidRPr="00306C42" w:rsidRDefault="004A2570" w:rsidP="00306C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6C42">
        <w:rPr>
          <w:rFonts w:ascii="Arial" w:hAnsi="Arial" w:cs="Arial"/>
          <w:b/>
          <w:sz w:val="22"/>
          <w:szCs w:val="22"/>
        </w:rPr>
        <w:t>Ethics</w:t>
      </w:r>
      <w:r w:rsidR="00261590" w:rsidRPr="00306C42">
        <w:rPr>
          <w:rFonts w:ascii="Arial" w:hAnsi="Arial" w:cs="Arial"/>
          <w:b/>
          <w:sz w:val="22"/>
          <w:szCs w:val="22"/>
        </w:rPr>
        <w:t xml:space="preserve"> and governance</w:t>
      </w:r>
    </w:p>
    <w:p w:rsidR="004A2570" w:rsidRDefault="004A2570" w:rsidP="00306C42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Providing advice on the research ethics approval process </w:t>
      </w:r>
      <w:r w:rsidR="00261590" w:rsidRPr="00306C42">
        <w:rPr>
          <w:rFonts w:ascii="Arial" w:hAnsi="Arial" w:cs="Arial"/>
          <w:sz w:val="22"/>
          <w:szCs w:val="22"/>
        </w:rPr>
        <w:t>both internal via UREC and external via NHS or other review boards</w:t>
      </w:r>
    </w:p>
    <w:p w:rsidR="006B2D1B" w:rsidRPr="00306C42" w:rsidRDefault="006B2D1B" w:rsidP="00306C42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Coordination of ethical approval processes </w:t>
      </w:r>
    </w:p>
    <w:p w:rsidR="00261590" w:rsidRPr="00306C42" w:rsidRDefault="004A2570" w:rsidP="00306C42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 xml:space="preserve">Ensuring ethical approval is in place </w:t>
      </w:r>
      <w:r w:rsidR="006B2D1B">
        <w:rPr>
          <w:rFonts w:ascii="Arial" w:hAnsi="Arial" w:cs="Arial"/>
          <w:sz w:val="22"/>
          <w:szCs w:val="22"/>
        </w:rPr>
        <w:t>prior to research commencing</w:t>
      </w:r>
      <w:r w:rsidR="006B2D1B" w:rsidRPr="00306C42">
        <w:rPr>
          <w:rFonts w:ascii="Arial" w:hAnsi="Arial" w:cs="Arial"/>
          <w:sz w:val="22"/>
          <w:szCs w:val="22"/>
        </w:rPr>
        <w:t xml:space="preserve"> </w:t>
      </w:r>
      <w:r w:rsidRPr="00306C42">
        <w:rPr>
          <w:rFonts w:ascii="Arial" w:hAnsi="Arial" w:cs="Arial"/>
          <w:sz w:val="22"/>
          <w:szCs w:val="22"/>
        </w:rPr>
        <w:t>for awarded research projects</w:t>
      </w:r>
    </w:p>
    <w:p w:rsidR="00200F30" w:rsidRPr="00306C42" w:rsidRDefault="00200F30" w:rsidP="00306C42">
      <w:pPr>
        <w:numPr>
          <w:ilvl w:val="0"/>
          <w:numId w:val="1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C42">
        <w:rPr>
          <w:rFonts w:ascii="Arial" w:hAnsi="Arial" w:cs="Arial"/>
          <w:sz w:val="22"/>
          <w:szCs w:val="22"/>
        </w:rPr>
        <w:t>Participating in information days and training workshops for academic staff</w:t>
      </w:r>
    </w:p>
    <w:p w:rsidR="00200F30" w:rsidRPr="00306C42" w:rsidRDefault="00200F30" w:rsidP="00306C42">
      <w:pPr>
        <w:tabs>
          <w:tab w:val="num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00F30" w:rsidRPr="00306C42" w:rsidRDefault="004A2570" w:rsidP="00306C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6C42">
        <w:rPr>
          <w:rFonts w:ascii="Arial" w:hAnsi="Arial" w:cs="Arial"/>
          <w:b/>
          <w:sz w:val="22"/>
          <w:szCs w:val="22"/>
        </w:rPr>
        <w:t>Research Systems</w:t>
      </w:r>
    </w:p>
    <w:p w:rsidR="003A5E5F" w:rsidRDefault="00306C42" w:rsidP="00306C4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Supporting the implementation and development of IT systems for research</w:t>
      </w:r>
    </w:p>
    <w:p w:rsidR="00306C42" w:rsidRDefault="00306C42" w:rsidP="00306C4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Providing advice and guidance to university staff on the use of such systems</w:t>
      </w:r>
    </w:p>
    <w:p w:rsidR="00306C42" w:rsidRPr="00306C42" w:rsidRDefault="00306C42" w:rsidP="00306C4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Participating in information days and training workshops for end-users</w:t>
      </w:r>
    </w:p>
    <w:p w:rsidR="00306C42" w:rsidRPr="00306C42" w:rsidRDefault="00306C42" w:rsidP="00306C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61590" w:rsidRPr="00306C42" w:rsidRDefault="00261590" w:rsidP="00306C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6C42">
        <w:rPr>
          <w:rFonts w:ascii="Arial" w:hAnsi="Arial" w:cs="Arial"/>
          <w:b/>
          <w:sz w:val="22"/>
          <w:szCs w:val="22"/>
        </w:rPr>
        <w:t>Other</w:t>
      </w:r>
    </w:p>
    <w:p w:rsidR="00590043" w:rsidRDefault="00590043" w:rsidP="00306C42">
      <w:pPr>
        <w:pStyle w:val="ListParagraph"/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Contributing to the development of research policy</w:t>
      </w:r>
    </w:p>
    <w:p w:rsidR="00306C42" w:rsidRDefault="00306C42" w:rsidP="00306C42">
      <w:pPr>
        <w:pStyle w:val="ListParagraph"/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Coordinating</w:t>
      </w:r>
      <w:r w:rsidRPr="00306C42">
        <w:rPr>
          <w:rFonts w:ascii="Arial" w:hAnsi="Arial" w:cs="Arial"/>
          <w:sz w:val="22"/>
          <w:szCs w:val="22"/>
        </w:rPr>
        <w:t xml:space="preserve"> the University’s  Research Excellence Framework  submission</w:t>
      </w:r>
    </w:p>
    <w:p w:rsidR="00306C42" w:rsidRDefault="00306C42" w:rsidP="00306C42">
      <w:pPr>
        <w:pStyle w:val="ListParagraph"/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Providing management reports on research activity </w:t>
      </w:r>
      <w:r w:rsidR="00590043">
        <w:rPr>
          <w:rFonts w:ascii="Arial" w:hAnsi="Arial" w:cs="Arial"/>
          <w:sz w:val="22"/>
          <w:szCs w:val="22"/>
        </w:rPr>
        <w:t>for both internal and external purposes</w:t>
      </w:r>
    </w:p>
    <w:p w:rsidR="00306C42" w:rsidRDefault="00306C42" w:rsidP="00306C42">
      <w:pPr>
        <w:pStyle w:val="ListParagraph"/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Liaising with other university departments to provide coordinated support for research across campus</w:t>
      </w:r>
    </w:p>
    <w:p w:rsidR="00590043" w:rsidRDefault="00590043" w:rsidP="00306C42">
      <w:pPr>
        <w:pStyle w:val="ListParagraph"/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Keeping abreast of changes in the UK research environment</w:t>
      </w:r>
    </w:p>
    <w:p w:rsidR="00590043" w:rsidRPr="00306C42" w:rsidRDefault="00590043" w:rsidP="00306C42">
      <w:pPr>
        <w:pStyle w:val="ListParagraph"/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Responding to sector policy changes and developments to ensure RCSO provides and efficient and effective support service for the University</w:t>
      </w:r>
    </w:p>
    <w:p w:rsidR="00261590" w:rsidRPr="00306C42" w:rsidRDefault="00261590" w:rsidP="00306C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61590" w:rsidRDefault="00261590" w:rsidP="00306C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6F96" w:rsidRDefault="00F26F96" w:rsidP="00306C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3BE4" w:rsidRPr="00306C42" w:rsidRDefault="00D23BE4" w:rsidP="00306C4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6C42" w:rsidRDefault="00306C42" w:rsidP="00306C42">
      <w:pPr>
        <w:spacing w:line="360" w:lineRule="auto"/>
        <w:rPr>
          <w:rFonts w:ascii="Arial" w:hAnsi="Arial" w:cs="Arial"/>
          <w:sz w:val="22"/>
          <w:szCs w:val="22"/>
        </w:rPr>
      </w:pPr>
    </w:p>
    <w:p w:rsidR="00306C42" w:rsidRDefault="00306C42">
      <w:pPr>
        <w:rPr>
          <w:rFonts w:ascii="Arial" w:hAnsi="Arial" w:cs="Arial"/>
          <w:sz w:val="22"/>
          <w:szCs w:val="22"/>
        </w:rPr>
      </w:pPr>
    </w:p>
    <w:p w:rsidR="00306C42" w:rsidRDefault="00306C42">
      <w:pPr>
        <w:rPr>
          <w:rFonts w:ascii="Arial" w:hAnsi="Arial" w:cs="Arial"/>
          <w:sz w:val="22"/>
          <w:szCs w:val="22"/>
        </w:rPr>
      </w:pPr>
    </w:p>
    <w:p w:rsidR="00306C42" w:rsidRDefault="00306C42">
      <w:pPr>
        <w:rPr>
          <w:rFonts w:ascii="Arial" w:hAnsi="Arial" w:cs="Arial"/>
          <w:sz w:val="22"/>
          <w:szCs w:val="22"/>
        </w:rPr>
      </w:pPr>
    </w:p>
    <w:p w:rsidR="00D157D6" w:rsidRDefault="00D157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Appendix 1.</w:t>
      </w:r>
    </w:p>
    <w:p w:rsidR="00D157D6" w:rsidRDefault="00D157D6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4536"/>
        <w:gridCol w:w="1843"/>
      </w:tblGrid>
      <w:tr w:rsidR="00D23BE4" w:rsidRPr="00D23BE4" w:rsidTr="007A0C0F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bCs/>
                <w:sz w:val="20"/>
                <w:szCs w:val="20"/>
              </w:rPr>
              <w:t>What CO will review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bCs/>
                <w:sz w:val="20"/>
                <w:szCs w:val="20"/>
              </w:rPr>
              <w:t>What CO will not review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3A5E5F" w:rsidP="00832FD7">
            <w:p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Redirect to:</w:t>
            </w: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>Contracts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 xml:space="preserve"> with funders for research projects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Memorandum  and Articles for Spin outs or other companies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3A5E5F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23BE4">
              <w:rPr>
                <w:rFonts w:asciiTheme="minorHAnsi" w:hAnsiTheme="minorHAnsi"/>
                <w:i/>
                <w:sz w:val="20"/>
                <w:szCs w:val="20"/>
              </w:rPr>
              <w:t>IP Commercialisation Manager</w:t>
            </w: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>Collaboration agreements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 xml:space="preserve"> for multiple party research projects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ERDF, RGF or other public grant agreements that are not research specific (i.e. not a 7000 code)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Public funding grants for capital projects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D157D6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23BE4">
              <w:rPr>
                <w:rFonts w:asciiTheme="minorHAnsi" w:hAnsiTheme="minorHAnsi"/>
                <w:i/>
                <w:sz w:val="20"/>
                <w:szCs w:val="20"/>
              </w:rPr>
              <w:t>Knowledge Exchange Support</w:t>
            </w: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>Licence agreements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 xml:space="preserve"> relating to research contracts (e.g. rights to software)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3A5E5F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 xml:space="preserve">Funding agreements </w:t>
            </w:r>
            <w:r w:rsidR="00D157D6" w:rsidRPr="00D23BE4">
              <w:rPr>
                <w:rFonts w:asciiTheme="minorHAnsi" w:hAnsiTheme="minorHAnsi"/>
                <w:b/>
                <w:sz w:val="20"/>
                <w:szCs w:val="20"/>
              </w:rPr>
              <w:t>for</w:t>
            </w: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 xml:space="preserve"> postgraduate students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D23BE4">
              <w:rPr>
                <w:rFonts w:asciiTheme="minorHAnsi" w:hAnsiTheme="minorHAnsi"/>
                <w:i/>
                <w:iCs/>
                <w:sz w:val="20"/>
                <w:szCs w:val="20"/>
              </w:rPr>
              <w:t>Examples: CASE, KTP, Private sector placements, ERDF related student placements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Undergraduate short term individual placements.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  <w:u w:val="single"/>
              </w:rPr>
              <w:t>But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 xml:space="preserve"> maybe need to put in place template agreements as we did with LUMS for subsequent use and execution by academic staff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3A5E5F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23BE4">
              <w:rPr>
                <w:rFonts w:asciiTheme="minorHAnsi" w:hAnsiTheme="minorHAnsi"/>
                <w:i/>
                <w:sz w:val="20"/>
                <w:szCs w:val="20"/>
              </w:rPr>
              <w:t>Faculties</w:t>
            </w: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>Non-disclosure agreements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 xml:space="preserve"> (NDAs) produced by 3</w:t>
            </w:r>
            <w:r w:rsidRPr="00D23BE4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 xml:space="preserve"> parties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 xml:space="preserve">Standard LU </w:t>
            </w:r>
            <w:r w:rsidR="005C6BDD" w:rsidRPr="00D23BE4">
              <w:rPr>
                <w:rFonts w:asciiTheme="minorHAnsi" w:hAnsiTheme="minorHAnsi"/>
                <w:sz w:val="20"/>
                <w:szCs w:val="20"/>
              </w:rPr>
              <w:t xml:space="preserve">template 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>NDA agreements</w:t>
            </w:r>
            <w:r w:rsidR="005E4632" w:rsidRPr="00D23BE4">
              <w:rPr>
                <w:rFonts w:asciiTheme="minorHAnsi" w:hAnsiTheme="minorHAnsi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3A5E5F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23BE4">
              <w:rPr>
                <w:rFonts w:asciiTheme="minorHAnsi" w:hAnsiTheme="minorHAnsi"/>
                <w:i/>
                <w:sz w:val="20"/>
                <w:szCs w:val="20"/>
              </w:rPr>
              <w:t>Faculties</w:t>
            </w: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3</w:t>
            </w:r>
            <w:r w:rsidRPr="00D23BE4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 xml:space="preserve"> party </w:t>
            </w: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>confidentiality agreements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BDD" w:rsidRPr="00D23BE4" w:rsidRDefault="005C6BDD" w:rsidP="007A0C0F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Standard LU template confidentiality agreements</w:t>
            </w:r>
            <w:r w:rsidR="005E4632" w:rsidRPr="00D23BE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A0C0F" w:rsidRPr="00D23BE4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5C6BDD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23BE4">
              <w:rPr>
                <w:rFonts w:asciiTheme="minorHAnsi" w:hAnsiTheme="minorHAnsi"/>
                <w:i/>
                <w:sz w:val="20"/>
                <w:szCs w:val="20"/>
              </w:rPr>
              <w:t>Faculties</w:t>
            </w: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>Material transfer agreements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 xml:space="preserve"> (MTAs)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Equipment procurement contracts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3A5E5F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23BE4">
              <w:rPr>
                <w:rFonts w:asciiTheme="minorHAnsi" w:hAnsiTheme="minorHAnsi"/>
                <w:i/>
                <w:sz w:val="20"/>
                <w:szCs w:val="20"/>
              </w:rPr>
              <w:t>Procurement Office</w:t>
            </w: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4B3" w:rsidRPr="00D23BE4" w:rsidRDefault="003E74B3" w:rsidP="00832F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>Equipment loan agreements relating to research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4B3" w:rsidRPr="00D23BE4" w:rsidRDefault="003E74B3" w:rsidP="00832F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4B3" w:rsidRPr="00D23BE4" w:rsidRDefault="003E74B3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4B3" w:rsidRPr="00D23BE4" w:rsidRDefault="003E74B3" w:rsidP="00832F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>LUCS consultancy agreements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4B3" w:rsidRPr="00D23BE4" w:rsidRDefault="003E74B3" w:rsidP="00832F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74B3" w:rsidRPr="00D23BE4" w:rsidRDefault="003E74B3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 xml:space="preserve">University consultancy contracts 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(6000 code)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Private consultancy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(CO may be able to provide discretionary “pro bono” advice on a non-recourse basis)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3A5E5F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 xml:space="preserve">University non accredited teaching contracts 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(6000 code)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Grants for non-research operational projects (8000 or 6000 codes)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D157D6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23BE4">
              <w:rPr>
                <w:rFonts w:asciiTheme="minorHAnsi" w:hAnsiTheme="minorHAnsi"/>
                <w:i/>
                <w:sz w:val="20"/>
                <w:szCs w:val="20"/>
              </w:rPr>
              <w:t xml:space="preserve">Knowledge Exchange Support </w:t>
            </w:r>
            <w:r w:rsidR="003A5E5F" w:rsidRPr="00D23BE4">
              <w:rPr>
                <w:rFonts w:asciiTheme="minorHAnsi" w:hAnsiTheme="minorHAnsi"/>
                <w:i/>
                <w:sz w:val="20"/>
                <w:szCs w:val="20"/>
              </w:rPr>
              <w:t>or faculties</w:t>
            </w: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>Novation agreements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 xml:space="preserve"> relating to above 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(MTA’s unlikely)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Employment contracts for university staff (including secondment agreements)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3A5E5F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23BE4">
              <w:rPr>
                <w:rFonts w:asciiTheme="minorHAnsi" w:hAnsiTheme="minorHAnsi"/>
                <w:i/>
                <w:sz w:val="20"/>
                <w:szCs w:val="20"/>
              </w:rPr>
              <w:t>Human Resources</w:t>
            </w:r>
          </w:p>
        </w:tc>
      </w:tr>
      <w:tr w:rsidR="00D23BE4" w:rsidRPr="00D23BE4" w:rsidTr="007A0C0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b/>
                <w:sz w:val="20"/>
                <w:szCs w:val="20"/>
              </w:rPr>
              <w:t>Instructions to solicitors</w:t>
            </w:r>
            <w:r w:rsidRPr="00D23BE4">
              <w:rPr>
                <w:rFonts w:asciiTheme="minorHAnsi" w:hAnsiTheme="minorHAnsi"/>
                <w:sz w:val="20"/>
                <w:szCs w:val="20"/>
              </w:rPr>
              <w:t xml:space="preserve"> relating to above</w:t>
            </w:r>
            <w:r w:rsidR="00D157D6" w:rsidRPr="00D23BE4">
              <w:rPr>
                <w:rFonts w:asciiTheme="minorHAnsi" w:hAnsiTheme="minorHAnsi"/>
                <w:sz w:val="20"/>
                <w:szCs w:val="20"/>
              </w:rPr>
              <w:t xml:space="preserve"> contracts/agreements</w:t>
            </w:r>
          </w:p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  <w:r w:rsidRPr="00D23BE4">
              <w:rPr>
                <w:rFonts w:asciiTheme="minorHAnsi" w:hAnsiTheme="minorHAnsi"/>
                <w:sz w:val="20"/>
                <w:szCs w:val="20"/>
              </w:rPr>
              <w:t>(Advice on H2020, or instructions for litigation in conjunction with University Secretary)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E5F" w:rsidRPr="00D23BE4" w:rsidRDefault="003A5E5F" w:rsidP="00832F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A5E5F" w:rsidRPr="00D23BE4" w:rsidRDefault="003A5E5F" w:rsidP="00832FD7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9D156F" w:rsidRPr="00D23BE4" w:rsidRDefault="009D156F">
      <w:pPr>
        <w:rPr>
          <w:rFonts w:asciiTheme="minorHAnsi" w:hAnsiTheme="minorHAnsi"/>
          <w:sz w:val="20"/>
          <w:szCs w:val="20"/>
        </w:rPr>
      </w:pPr>
    </w:p>
    <w:p w:rsidR="005E4632" w:rsidRPr="00D23BE4" w:rsidRDefault="005E4632" w:rsidP="005E4632">
      <w:pPr>
        <w:rPr>
          <w:rFonts w:asciiTheme="minorHAnsi" w:hAnsiTheme="minorHAnsi"/>
          <w:sz w:val="20"/>
          <w:szCs w:val="20"/>
        </w:rPr>
      </w:pPr>
      <w:r w:rsidRPr="00D23BE4">
        <w:rPr>
          <w:rFonts w:asciiTheme="minorHAnsi" w:hAnsiTheme="minorHAnsi"/>
          <w:sz w:val="20"/>
          <w:szCs w:val="20"/>
        </w:rPr>
        <w:t>*</w:t>
      </w:r>
      <w:r w:rsidR="007A0C0F" w:rsidRPr="00D23BE4">
        <w:rPr>
          <w:rFonts w:asciiTheme="minorHAnsi" w:hAnsiTheme="minorHAnsi"/>
          <w:sz w:val="20"/>
          <w:szCs w:val="20"/>
        </w:rPr>
        <w:t>The C</w:t>
      </w:r>
      <w:r w:rsidRPr="00D23BE4">
        <w:rPr>
          <w:rFonts w:asciiTheme="minorHAnsi" w:hAnsiTheme="minorHAnsi"/>
          <w:sz w:val="20"/>
          <w:szCs w:val="20"/>
        </w:rPr>
        <w:t>ontr</w:t>
      </w:r>
      <w:r w:rsidR="007A0C0F" w:rsidRPr="00D23BE4">
        <w:rPr>
          <w:rFonts w:asciiTheme="minorHAnsi" w:hAnsiTheme="minorHAnsi"/>
          <w:sz w:val="20"/>
          <w:szCs w:val="20"/>
        </w:rPr>
        <w:t xml:space="preserve">acts Office will not review standard LU template NDAs or confidentiality agreements </w:t>
      </w:r>
      <w:r w:rsidRPr="00D23BE4">
        <w:rPr>
          <w:rFonts w:asciiTheme="minorHAnsi" w:hAnsiTheme="minorHAnsi"/>
          <w:i/>
          <w:sz w:val="20"/>
          <w:szCs w:val="20"/>
        </w:rPr>
        <w:t>unless</w:t>
      </w:r>
      <w:r w:rsidRPr="00D23BE4">
        <w:rPr>
          <w:rFonts w:asciiTheme="minorHAnsi" w:hAnsiTheme="minorHAnsi"/>
          <w:sz w:val="20"/>
          <w:szCs w:val="20"/>
        </w:rPr>
        <w:t xml:space="preserve"> counterparties have requested changes to the agreement</w:t>
      </w:r>
      <w:r w:rsidR="007A0C0F" w:rsidRPr="00D23BE4">
        <w:rPr>
          <w:rFonts w:asciiTheme="minorHAnsi" w:hAnsiTheme="minorHAnsi"/>
          <w:sz w:val="20"/>
          <w:szCs w:val="20"/>
        </w:rPr>
        <w:t xml:space="preserve">s. </w:t>
      </w:r>
      <w:r w:rsidRPr="00D23BE4">
        <w:rPr>
          <w:rFonts w:asciiTheme="minorHAnsi" w:hAnsiTheme="minorHAnsi"/>
          <w:sz w:val="20"/>
          <w:szCs w:val="20"/>
        </w:rPr>
        <w:t xml:space="preserve"> These are standard documents and if </w:t>
      </w:r>
      <w:r w:rsidR="007A0C0F" w:rsidRPr="00D23BE4">
        <w:rPr>
          <w:rFonts w:asciiTheme="minorHAnsi" w:hAnsiTheme="minorHAnsi"/>
          <w:sz w:val="20"/>
          <w:szCs w:val="20"/>
        </w:rPr>
        <w:t xml:space="preserve">the </w:t>
      </w:r>
      <w:r w:rsidRPr="00D23BE4">
        <w:rPr>
          <w:rFonts w:asciiTheme="minorHAnsi" w:hAnsiTheme="minorHAnsi"/>
          <w:sz w:val="20"/>
          <w:szCs w:val="20"/>
        </w:rPr>
        <w:t>counterpa</w:t>
      </w:r>
      <w:r w:rsidR="007A0C0F" w:rsidRPr="00D23BE4">
        <w:rPr>
          <w:rFonts w:asciiTheme="minorHAnsi" w:hAnsiTheme="minorHAnsi"/>
          <w:sz w:val="20"/>
          <w:szCs w:val="20"/>
        </w:rPr>
        <w:t>rty is happy with the terms these agreements</w:t>
      </w:r>
      <w:r w:rsidRPr="00D23BE4">
        <w:rPr>
          <w:rFonts w:asciiTheme="minorHAnsi" w:hAnsiTheme="minorHAnsi"/>
          <w:sz w:val="20"/>
          <w:szCs w:val="20"/>
        </w:rPr>
        <w:t xml:space="preserve"> do not need to be referred back to Contracts Office, which is however happy to offer advice if it is needed.</w:t>
      </w:r>
    </w:p>
    <w:p w:rsidR="005E4632" w:rsidRPr="00D23BE4" w:rsidRDefault="005E4632" w:rsidP="005E4632">
      <w:pPr>
        <w:rPr>
          <w:rFonts w:asciiTheme="minorHAnsi" w:hAnsiTheme="minorHAnsi"/>
          <w:sz w:val="20"/>
          <w:szCs w:val="20"/>
        </w:rPr>
      </w:pPr>
    </w:p>
    <w:sectPr w:rsidR="005E4632" w:rsidRPr="00D23BE4" w:rsidSect="003A5E5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48" w:rsidRDefault="006D2348" w:rsidP="00F26F96">
      <w:r>
        <w:separator/>
      </w:r>
    </w:p>
  </w:endnote>
  <w:endnote w:type="continuationSeparator" w:id="0">
    <w:p w:rsidR="006D2348" w:rsidRDefault="006D2348" w:rsidP="00F2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96" w:rsidRDefault="00F26F96">
    <w:pPr>
      <w:pStyle w:val="Footer"/>
    </w:pPr>
    <w:r>
      <w:t>30 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48" w:rsidRDefault="006D2348" w:rsidP="00F26F96">
      <w:r>
        <w:separator/>
      </w:r>
    </w:p>
  </w:footnote>
  <w:footnote w:type="continuationSeparator" w:id="0">
    <w:p w:rsidR="006D2348" w:rsidRDefault="006D2348" w:rsidP="00F2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1DF"/>
    <w:multiLevelType w:val="hybridMultilevel"/>
    <w:tmpl w:val="FB80E8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002D3"/>
    <w:multiLevelType w:val="hybridMultilevel"/>
    <w:tmpl w:val="254C5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8B08DA"/>
    <w:multiLevelType w:val="hybridMultilevel"/>
    <w:tmpl w:val="A866D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0826E8"/>
    <w:multiLevelType w:val="hybridMultilevel"/>
    <w:tmpl w:val="D8E8E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AF4075"/>
    <w:multiLevelType w:val="hybridMultilevel"/>
    <w:tmpl w:val="CF8494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E71844"/>
    <w:multiLevelType w:val="hybridMultilevel"/>
    <w:tmpl w:val="1DCC7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A85F20"/>
    <w:multiLevelType w:val="hybridMultilevel"/>
    <w:tmpl w:val="42169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C60700"/>
    <w:multiLevelType w:val="hybridMultilevel"/>
    <w:tmpl w:val="8CFE8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2D0BF6"/>
    <w:multiLevelType w:val="hybridMultilevel"/>
    <w:tmpl w:val="A6E6536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6D60DE"/>
    <w:multiLevelType w:val="hybridMultilevel"/>
    <w:tmpl w:val="CFFECA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B30E6"/>
    <w:multiLevelType w:val="multilevel"/>
    <w:tmpl w:val="CA64D43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>
    <w:nsid w:val="75B57F71"/>
    <w:multiLevelType w:val="multilevel"/>
    <w:tmpl w:val="ECA0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D0509C"/>
    <w:multiLevelType w:val="hybridMultilevel"/>
    <w:tmpl w:val="64E4008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8D06D7"/>
    <w:multiLevelType w:val="hybridMultilevel"/>
    <w:tmpl w:val="1F02E2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A1"/>
    <w:rsid w:val="000171A0"/>
    <w:rsid w:val="00053B9E"/>
    <w:rsid w:val="000574DB"/>
    <w:rsid w:val="00096F27"/>
    <w:rsid w:val="000D336E"/>
    <w:rsid w:val="000F3CD9"/>
    <w:rsid w:val="00191ADF"/>
    <w:rsid w:val="001A40E6"/>
    <w:rsid w:val="001C3A58"/>
    <w:rsid w:val="001E523D"/>
    <w:rsid w:val="001E638E"/>
    <w:rsid w:val="001E6433"/>
    <w:rsid w:val="00200F30"/>
    <w:rsid w:val="002414AB"/>
    <w:rsid w:val="00261590"/>
    <w:rsid w:val="00281C3D"/>
    <w:rsid w:val="0029775A"/>
    <w:rsid w:val="002A07D4"/>
    <w:rsid w:val="00306C42"/>
    <w:rsid w:val="0032117E"/>
    <w:rsid w:val="003A5E5F"/>
    <w:rsid w:val="003B59E0"/>
    <w:rsid w:val="003C3655"/>
    <w:rsid w:val="003E74B3"/>
    <w:rsid w:val="00451FE3"/>
    <w:rsid w:val="00471314"/>
    <w:rsid w:val="00495E53"/>
    <w:rsid w:val="004A2570"/>
    <w:rsid w:val="004B1B23"/>
    <w:rsid w:val="004C6D7A"/>
    <w:rsid w:val="00581B75"/>
    <w:rsid w:val="0058238E"/>
    <w:rsid w:val="00590043"/>
    <w:rsid w:val="005A37E3"/>
    <w:rsid w:val="005C6295"/>
    <w:rsid w:val="005C6BDD"/>
    <w:rsid w:val="005E1067"/>
    <w:rsid w:val="005E4632"/>
    <w:rsid w:val="00622586"/>
    <w:rsid w:val="00652E8D"/>
    <w:rsid w:val="0065685E"/>
    <w:rsid w:val="00684618"/>
    <w:rsid w:val="00687D4A"/>
    <w:rsid w:val="006973C4"/>
    <w:rsid w:val="006B1BFF"/>
    <w:rsid w:val="006B2D1B"/>
    <w:rsid w:val="006D2348"/>
    <w:rsid w:val="007A0C0F"/>
    <w:rsid w:val="007C4714"/>
    <w:rsid w:val="007D1A90"/>
    <w:rsid w:val="008167A4"/>
    <w:rsid w:val="0086586B"/>
    <w:rsid w:val="008960D9"/>
    <w:rsid w:val="008A0EE4"/>
    <w:rsid w:val="009171E3"/>
    <w:rsid w:val="009539DC"/>
    <w:rsid w:val="00973BA2"/>
    <w:rsid w:val="00977953"/>
    <w:rsid w:val="009C63BB"/>
    <w:rsid w:val="009C7636"/>
    <w:rsid w:val="009D156F"/>
    <w:rsid w:val="00A20125"/>
    <w:rsid w:val="00A30C98"/>
    <w:rsid w:val="00A55AD0"/>
    <w:rsid w:val="00A90915"/>
    <w:rsid w:val="00A93230"/>
    <w:rsid w:val="00AF4AD1"/>
    <w:rsid w:val="00B4109E"/>
    <w:rsid w:val="00BD245C"/>
    <w:rsid w:val="00CD2B50"/>
    <w:rsid w:val="00CD70AE"/>
    <w:rsid w:val="00D075A1"/>
    <w:rsid w:val="00D12177"/>
    <w:rsid w:val="00D157D6"/>
    <w:rsid w:val="00D23BE4"/>
    <w:rsid w:val="00D74AF3"/>
    <w:rsid w:val="00D95C88"/>
    <w:rsid w:val="00DB6394"/>
    <w:rsid w:val="00DD3A01"/>
    <w:rsid w:val="00DD7B76"/>
    <w:rsid w:val="00DE7395"/>
    <w:rsid w:val="00E13467"/>
    <w:rsid w:val="00E230FA"/>
    <w:rsid w:val="00E43481"/>
    <w:rsid w:val="00E84DA1"/>
    <w:rsid w:val="00E911F8"/>
    <w:rsid w:val="00E977A7"/>
    <w:rsid w:val="00EA104D"/>
    <w:rsid w:val="00EC1C0F"/>
    <w:rsid w:val="00EE6B06"/>
    <w:rsid w:val="00EF2CCA"/>
    <w:rsid w:val="00F26F96"/>
    <w:rsid w:val="00F35FA1"/>
    <w:rsid w:val="00F42762"/>
    <w:rsid w:val="00F763F0"/>
    <w:rsid w:val="00FA18BD"/>
    <w:rsid w:val="00FB18D5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230"/>
    <w:rPr>
      <w:sz w:val="24"/>
      <w:szCs w:val="24"/>
    </w:rPr>
  </w:style>
  <w:style w:type="paragraph" w:styleId="Heading1">
    <w:name w:val="heading 1"/>
    <w:basedOn w:val="Normal"/>
    <w:qFormat/>
    <w:rsid w:val="00D075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75A1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075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590"/>
    <w:pPr>
      <w:ind w:left="720"/>
      <w:contextualSpacing/>
    </w:pPr>
  </w:style>
  <w:style w:type="paragraph" w:styleId="Header">
    <w:name w:val="header"/>
    <w:basedOn w:val="Normal"/>
    <w:link w:val="HeaderChar"/>
    <w:rsid w:val="00F26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6F96"/>
    <w:rPr>
      <w:sz w:val="24"/>
      <w:szCs w:val="24"/>
    </w:rPr>
  </w:style>
  <w:style w:type="paragraph" w:styleId="Footer">
    <w:name w:val="footer"/>
    <w:basedOn w:val="Normal"/>
    <w:link w:val="FooterChar"/>
    <w:rsid w:val="00F26F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6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230"/>
    <w:rPr>
      <w:sz w:val="24"/>
      <w:szCs w:val="24"/>
    </w:rPr>
  </w:style>
  <w:style w:type="paragraph" w:styleId="Heading1">
    <w:name w:val="heading 1"/>
    <w:basedOn w:val="Normal"/>
    <w:qFormat/>
    <w:rsid w:val="00D075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75A1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075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1590"/>
    <w:pPr>
      <w:ind w:left="720"/>
      <w:contextualSpacing/>
    </w:pPr>
  </w:style>
  <w:style w:type="paragraph" w:styleId="Header">
    <w:name w:val="header"/>
    <w:basedOn w:val="Normal"/>
    <w:link w:val="HeaderChar"/>
    <w:rsid w:val="00F26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6F96"/>
    <w:rPr>
      <w:sz w:val="24"/>
      <w:szCs w:val="24"/>
    </w:rPr>
  </w:style>
  <w:style w:type="paragraph" w:styleId="Footer">
    <w:name w:val="footer"/>
    <w:basedOn w:val="Normal"/>
    <w:link w:val="FooterChar"/>
    <w:rsid w:val="00F26F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26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4925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level agreement</vt:lpstr>
    </vt:vector>
  </TitlesOfParts>
  <Company>Lancaster University</Company>
  <LinksUpToDate>false</LinksUpToDate>
  <CharactersWithSpaces>5723</CharactersWithSpaces>
  <SharedDoc>false</SharedDoc>
  <HLinks>
    <vt:vector size="12" baseType="variant">
      <vt:variant>
        <vt:i4>2686996</vt:i4>
      </vt:variant>
      <vt:variant>
        <vt:i4>3</vt:i4>
      </vt:variant>
      <vt:variant>
        <vt:i4>0</vt:i4>
      </vt:variant>
      <vt:variant>
        <vt:i4>5</vt:i4>
      </vt:variant>
      <vt:variant>
        <vt:lpwstr>mailto:rso-submissions@lancaster.ac.uk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http://www.city.ac.uk/finance/finregs.html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level agreement</dc:title>
  <dc:creator>foxy</dc:creator>
  <cp:lastModifiedBy>Lewis, Phillip</cp:lastModifiedBy>
  <cp:revision>2</cp:revision>
  <dcterms:created xsi:type="dcterms:W3CDTF">2014-07-25T08:17:00Z</dcterms:created>
  <dcterms:modified xsi:type="dcterms:W3CDTF">2014-07-25T08:17:00Z</dcterms:modified>
</cp:coreProperties>
</file>